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7" w:lineRule="exact"/>
        <w:rPr>
          <w:rFonts w:ascii="Times New Roman" w:hAnsi="Times New Roman" w:eastAsia="黑体" w:cs="Times New Roman"/>
          <w:sz w:val="32"/>
          <w:szCs w:val="32"/>
        </w:rPr>
      </w:pPr>
      <w:r>
        <w:rPr>
          <w:rFonts w:ascii="Times New Roman" w:hAnsi="Times New Roman" w:eastAsia="黑体" w:cs="Times New Roman"/>
          <w:sz w:val="32"/>
          <w:szCs w:val="32"/>
        </w:rPr>
        <w:t>附件2：</w:t>
      </w:r>
    </w:p>
    <w:p>
      <w:pPr>
        <w:spacing w:line="577"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“清朗网络空间，共筑禁毒防线”</w:t>
      </w:r>
    </w:p>
    <w:p>
      <w:pPr>
        <w:spacing w:line="577"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全国化工行业净网倡议</w:t>
      </w:r>
    </w:p>
    <w:p>
      <w:pPr>
        <w:spacing w:line="577" w:lineRule="exact"/>
        <w:rPr>
          <w:rFonts w:ascii="Times New Roman" w:hAnsi="Times New Roman" w:eastAsia="仿宋_GB2312" w:cs="Times New Roman"/>
          <w:sz w:val="32"/>
          <w:szCs w:val="32"/>
        </w:rPr>
      </w:pPr>
    </w:p>
    <w:p>
      <w:pPr>
        <w:spacing w:line="577"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当前，不法分子利用化工平台寻购非列管可制毒化学品从事涉毒违法犯罪活动日益突出，已严重破坏市场秩序，损害国家形象。化工行业作为国民经济重要支柱产业，在禁毒工作中肩负关键作用和使命。积极参与禁毒工作是行业从业者义不容辞的责任。为遏制化工行业涉毒问题发展蔓延，有力维护行业健康发展，我们特向全国化工行业及全体从业人员发出如下倡议：</w:t>
      </w:r>
    </w:p>
    <w:p>
      <w:pPr>
        <w:spacing w:line="577"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一、胸怀国之大者，筑牢合规思想根基</w:t>
      </w:r>
    </w:p>
    <w:p>
      <w:pPr>
        <w:spacing w:line="577"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全行业要严格遵守国家和相关主管部门制定的各项法律法规，切实履行禁毒责任、维护行业安全、巩固禁毒防线、严格行业自律，规范非列管可制毒化学品信息发布，将禁毒工作贯穿于化工行业全链条，并纳入企业内部控制与风险管理体系，进一步筑牢思想防线。</w:t>
      </w:r>
    </w:p>
    <w:p>
      <w:pPr>
        <w:spacing w:line="577"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二、恪守合规底线，防范信息滥用风险</w:t>
      </w:r>
    </w:p>
    <w:p>
      <w:pPr>
        <w:spacing w:line="577"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全行业要承担信息内容管理主体责任。发布化工信息时，要严格坚守各项法律法规。严禁以任何形式发布、暗示可能教唆、误导非法使用的销售或技术信息，杜绝使用代号、隐暗语等规避监管。信息发布应引导合法合规工业应用、安全操作规范及科技成果正面宣传，确保导向正确、内容真实。</w:t>
      </w:r>
    </w:p>
    <w:p>
      <w:pPr>
        <w:spacing w:line="577"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三、强化审慎核查，阻断异常交易链条</w:t>
      </w:r>
    </w:p>
    <w:p>
      <w:pPr>
        <w:spacing w:line="577"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全行业要强化合规审核风险防控意识。在涉非列管可制毒化学品及相关敏感物质交易中，倡议企业执行审慎客户背景调查与采购用途核实程序。对交易对象存在资质可疑、采购异常或用途不明等情况的，要高度警惕并加强核验。鼓励企业建立内部预警机制，对无法排除风险的，应果断拒绝并及时向有关部门反映。</w:t>
      </w:r>
    </w:p>
    <w:p>
      <w:pPr>
        <w:spacing w:line="577"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四、汇聚行业合力，构建协同共治格局</w:t>
      </w:r>
    </w:p>
    <w:p>
      <w:pPr>
        <w:spacing w:line="577"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维护行业整体形象需要每一家企业的共同努力。我们倡议，全行业要加强沟通，在识别风险、分享经验等方面形成合力。协会应更好发挥纽带作用，组织开展政策宣讲、风险提示与实践交流，提升行业整体风险辨识与防范能力。支持行业媒体与信息平台传播正能量，广泛宣传我国化工行业安全、绿色、创新及合规治理方面成就与贡献。</w:t>
      </w:r>
    </w:p>
    <w:p>
      <w:pPr>
        <w:spacing w:line="577"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五、立足全球视野，贡献行业治理智慧</w:t>
      </w:r>
    </w:p>
    <w:p>
      <w:pPr>
        <w:spacing w:line="577"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我国化工行业网络言行直接影响国家形象。我们倡议企业在开展国际业务与交流时，要自觉秉持高标准合规要求，规范信息发布。要主动利用国际平台，客观专业阐述我国化工和禁毒领域有力举措与成效，分享我国化工行业可持续发展理念与实践，为全球化学品安全治理贡献中国智慧。</w:t>
      </w:r>
    </w:p>
    <w:p>
      <w:pPr>
        <w:spacing w:line="577"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清朗网络空间，人人受益；筑牢禁毒防线，人人有责。让我们以高度的政治自觉、严谨的合规行动和积极的行业协同，从规范每一则网络信息做起，共同守护化工行业的蓝天净土，为维护全球化学品安全秩序，助力产业高质量发展、服务中国式现代化大局作出新的更大贡献！</w:t>
      </w:r>
    </w:p>
    <w:p>
      <w:pPr>
        <w:spacing w:line="577" w:lineRule="exact"/>
        <w:ind w:firstLine="640" w:firstLineChars="200"/>
        <w:rPr>
          <w:rFonts w:ascii="Times New Roman" w:hAnsi="Times New Roman" w:eastAsia="仿宋_GB2312" w:cs="Times New Roman"/>
          <w:sz w:val="32"/>
          <w:szCs w:val="32"/>
        </w:rPr>
      </w:pPr>
    </w:p>
    <w:p>
      <w:pPr>
        <w:spacing w:line="577" w:lineRule="exact"/>
        <w:ind w:firstLine="640" w:firstLineChars="200"/>
        <w:rPr>
          <w:rFonts w:ascii="Times New Roman" w:hAnsi="Times New Roman" w:eastAsia="仿宋_GB2312" w:cs="Times New Roman"/>
          <w:sz w:val="32"/>
          <w:szCs w:val="32"/>
        </w:rPr>
      </w:pPr>
    </w:p>
    <w:p>
      <w:pPr>
        <w:spacing w:line="577" w:lineRule="exact"/>
        <w:ind w:firstLine="3520" w:firstLineChars="1100"/>
        <w:rPr>
          <w:rFonts w:ascii="Times New Roman" w:hAnsi="Times New Roman" w:eastAsia="仿宋_GB2312" w:cs="Times New Roman"/>
          <w:sz w:val="32"/>
          <w:szCs w:val="32"/>
        </w:rPr>
      </w:pPr>
      <w:r>
        <w:rPr>
          <w:rFonts w:ascii="Times New Roman" w:hAnsi="Times New Roman" w:eastAsia="仿宋_GB2312" w:cs="Times New Roman"/>
          <w:sz w:val="32"/>
          <w:szCs w:val="32"/>
        </w:rPr>
        <w:t>中国石油和化学工业联合会</w:t>
      </w:r>
    </w:p>
    <w:p>
      <w:pPr>
        <w:spacing w:line="577" w:lineRule="exact"/>
        <w:ind w:firstLine="4000" w:firstLineChars="1250"/>
        <w:rPr>
          <w:rFonts w:ascii="Times New Roman" w:hAnsi="Times New Roman" w:eastAsia="仿宋_GB2312" w:cs="Times New Roman"/>
          <w:sz w:val="32"/>
          <w:szCs w:val="32"/>
        </w:rPr>
      </w:pPr>
      <w:r>
        <w:rPr>
          <w:rFonts w:ascii="Times New Roman" w:hAnsi="Times New Roman" w:eastAsia="仿宋_GB2312" w:cs="Times New Roman"/>
          <w:sz w:val="32"/>
          <w:szCs w:val="32"/>
        </w:rPr>
        <w:t>2025年12月30日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8B39B7"/>
    <w:rsid w:val="3F8B39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Body Text First Indent1"/>
    <w:basedOn w:val="3"/>
    <w:qFormat/>
    <w:uiPriority w:val="0"/>
    <w:pPr>
      <w:ind w:firstLine="420" w:firstLineChars="100"/>
    </w:pPr>
    <w:rPr>
      <w:rFonts w:eastAsia="宋体"/>
      <w:sz w:val="21"/>
      <w:szCs w:val="22"/>
    </w:rPr>
  </w:style>
  <w:style w:type="paragraph" w:styleId="3">
    <w:name w:val="Body Text"/>
    <w:basedOn w:val="1"/>
    <w:next w:val="1"/>
    <w:qFormat/>
    <w:uiPriority w:val="0"/>
    <w:rPr>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2026-03-30T07:24:00Z</dcterms:created>
  <dc:creator>hp</dc:creator>
  <cp:lastModifiedBy>hp</cp:lastModifiedBy>
  <dcterms:modified xsi:type="dcterms:W3CDTF">2026-03-30T07:24:36Z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ies>
</file>